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329" w:lineRule="exact"/>
        <w:ind w:left="24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6pt;height:48.1pt;margin-top:126.95pt;margin-left:99.5pt;mso-position-horizontal-relative:page;mso-position-vertical-relative:page;position:absolute;z-index:-251643904">
            <v:imagedata r:id="rId4" o:title="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width:35.8pt;height:48.25pt;margin-top:126.85pt;margin-left:135.75pt;mso-position-horizontal-relative:page;mso-position-vertical-relative:page;position:absolute;z-index:-251644928">
            <v:imagedata r:id="rId5" o:title=""/>
          </v:shape>
        </w:pict>
      </w:r>
      <w:r>
        <w:rPr>
          <w:noProof/>
        </w:rPr>
        <w:pict>
          <v:shape id="_x0000_s1027" type="#_x0000_t75" style="width:33.6pt;height:48.35pt;margin-top:126.75pt;margin-left:172.2pt;mso-position-horizontal-relative:page;mso-position-vertical-relative:page;position:absolute;z-index:-251645952">
            <v:imagedata r:id="rId6" o:title=""/>
          </v:shape>
        </w:pict>
      </w:r>
      <w:r>
        <w:rPr>
          <w:noProof/>
        </w:rPr>
        <w:pict>
          <v:shape id="_x0000_s1028" type="#_x0000_t75" style="width:34.5pt;height:48.3pt;margin-top:126.8pt;margin-left:208.45pt;mso-position-horizontal-relative:page;mso-position-vertical-relative:page;position:absolute;z-index:-251646976">
            <v:imagedata r:id="rId7" o:title=""/>
          </v:shape>
        </w:pict>
      </w:r>
      <w:r>
        <w:rPr>
          <w:noProof/>
        </w:rPr>
        <w:pict>
          <v:shape id="_x0000_s1029" type="#_x0000_t75" style="width:35.65pt;height:48.2pt;margin-top:126.8pt;margin-left:243.7pt;mso-position-horizontal-relative:page;mso-position-vertical-relative:page;position:absolute;z-index:-251648000">
            <v:imagedata r:id="rId8" o:title=""/>
          </v:shape>
        </w:pict>
      </w:r>
      <w:r>
        <w:rPr>
          <w:noProof/>
        </w:rPr>
        <w:pict>
          <v:shape id="_x0000_s1030" type="#_x0000_t75" style="width:36.35pt;height:48.35pt;margin-top:126.8pt;margin-left:279.75pt;mso-position-horizontal-relative:page;mso-position-vertical-relative:page;position:absolute;z-index:-251649024">
            <v:imagedata r:id="rId9" o:title=""/>
          </v:shape>
        </w:pict>
      </w:r>
      <w:r>
        <w:rPr>
          <w:noProof/>
        </w:rPr>
        <w:pict>
          <v:shape id="_x0000_s1031" type="#_x0000_t75" style="width:72.2pt;height:48.4pt;margin-top:126.8pt;margin-left:279.75pt;mso-position-horizontal-relative:page;mso-position-vertical-relative:page;position:absolute;z-index:-251650048">
            <v:imagedata r:id="rId10" o:title=""/>
          </v:shape>
        </w:pict>
      </w:r>
      <w:r>
        <w:rPr>
          <w:noProof/>
        </w:rPr>
        <w:pict>
          <v:shape id="_x0000_s1032" type="#_x0000_t75" style="width:35.55pt;height:48.3pt;margin-top:126.8pt;margin-left:351.45pt;mso-position-horizontal-relative:page;mso-position-vertical-relative:page;position:absolute;z-index:-251651072">
            <v:imagedata r:id="rId11" o:title=""/>
          </v:shape>
        </w:pict>
      </w:r>
      <w:r>
        <w:rPr>
          <w:noProof/>
        </w:rPr>
        <w:pict>
          <v:shape id="_x0000_s1033" type="#_x0000_t75" style="width:36.1pt;height:48.05pt;margin-top:126.8pt;margin-left:387.4pt;mso-position-horizontal-relative:page;mso-position-vertical-relative:page;position:absolute;z-index:-251652096">
            <v:imagedata r:id="rId12" o:title=""/>
          </v:shape>
        </w:pict>
      </w:r>
      <w:r>
        <w:rPr>
          <w:noProof/>
        </w:rPr>
        <w:pict>
          <v:shape id="_x0000_s1034" type="#_x0000_t75" style="width:35.5pt;height:48pt;margin-top:127pt;margin-left:423.9pt;mso-position-horizontal-relative:page;mso-position-vertical-relative:page;position:absolute;z-index:-251653120">
            <v:imagedata r:id="rId13" o:title=""/>
          </v:shape>
        </w:pict>
      </w:r>
      <w:r>
        <w:rPr>
          <w:noProof/>
        </w:rPr>
        <w:pict>
          <v:shape id="_x0000_s1035" type="#_x0000_t75" style="width:36.35pt;height:48.45pt;margin-top:126.8pt;margin-left:459.5pt;mso-position-horizontal-relative:page;mso-position-vertical-relative:page;position:absolute;z-index:-251654144">
            <v:imagedata r:id="rId14" o:title=""/>
          </v:shape>
        </w:pict>
      </w:r>
      <w:r>
        <w:rPr>
          <w:noProof/>
        </w:rPr>
        <w:pict>
          <v:shape id="_x0000_s1036" type="#_x0000_t75" style="width:417.3pt;height:533.3pt;margin-top:236.7pt;margin-left:89pt;mso-position-horizontal-relative:page;mso-position-vertical-relative:page;position:absolute;z-index:-251655168">
            <v:imagedata r:id="rId15" o:title=""/>
          </v:shape>
        </w:pict>
      </w:r>
      <w:r>
        <w:rPr>
          <w:noProof/>
        </w:rPr>
        <w:pict>
          <v:shape id="_x0000_s1037" type="#_x0000_t75" style="width:435.5pt;height:3pt;margin-top:230.1pt;margin-left:89pt;mso-position-horizontal-relative:page;mso-position-vertical-relative:page;position:absolute;z-index:-251658240">
            <v:imagedata r:id="rId16" o:title=""/>
          </v:shape>
        </w:pic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豫营保协（2019）10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号</w:t>
      </w:r>
    </w:p>
    <w:p>
      <w:pPr>
        <w:spacing w:before="302" w:after="0" w:line="439" w:lineRule="exact"/>
        <w:ind w:left="253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PMQUFS+FZXBSK--GBK1-0" w:hAnsi="PMQUFS+FZXBSK--GBK1-0" w:eastAsiaTheme="minorEastAsia" w:cs="PMQUFS+FZXBSK--GBK1-0"/>
          <w:color w:val="000000"/>
          <w:sz w:val="36"/>
          <w:szCs w:val="22"/>
          <w:lang w:val="en-US" w:eastAsia="en-US" w:bidi="ar-SA"/>
        </w:rPr>
        <w:t>河南省营养保健协会</w:t>
      </w:r>
    </w:p>
    <w:p>
      <w:pPr>
        <w:spacing w:before="317" w:after="0" w:line="439" w:lineRule="exact"/>
        <w:ind w:left="103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PMQUFS+FZXBSK--GBK1-0" w:hAnsi="PMQUFS+FZXBSK--GBK1-0" w:eastAsiaTheme="minorEastAsia" w:cs="PMQUFS+FZXBSK--GBK1-0"/>
          <w:color w:val="000000"/>
          <w:sz w:val="36"/>
          <w:szCs w:val="22"/>
          <w:lang w:val="en-US" w:eastAsia="en-US" w:bidi="ar-SA"/>
        </w:rPr>
        <w:t>保健用品团体标准实施监管办法(修订）</w:t>
      </w:r>
    </w:p>
    <w:p>
      <w:pPr>
        <w:spacing w:before="297" w:after="0" w:line="291" w:lineRule="exact"/>
        <w:ind w:left="61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第一条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为规范河南省营养保健行业保健用品的生产销售行</w:t>
      </w:r>
    </w:p>
    <w:p>
      <w:pPr>
        <w:spacing w:before="256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为，维护消费者合法权益，根据国家标准委、民政部《团体标准管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理规定》和有关法律、法规的规定，结合实际，制定本办法。</w:t>
      </w:r>
    </w:p>
    <w:p>
      <w:pPr>
        <w:spacing w:before="251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第二条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本办法所称保健用品，是指依据中医药理论基础，传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承与发扬中医药特色，直接或者间接作用于人体表面，以调理或缓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解人体亚健康，具有特定保健作用，有益大众健康的外用产品。保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健用品不能代替药品、医疗器械、特殊食品、特殊用途化妆品、消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毒产品。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第三条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国家十二五规划《国务院关于促进健康服务业发展的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若干意见》（国发【2013】40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号）、《河南省人民政府关于促进健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康服务业发展的实施意见》（豫政【2014】57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号）把保健用品纳入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健康服务业的支撑产业支持发展。国务院总理李克强讲话：对市场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主体，是“法无禁止即可为”；而对政府，则是“法无授权不可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为”。保健用品团体标准是在保健用品目前无国家标准、行业标准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和地方标准的前提下，为规范行业行为，促进行业创新发展而自发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自愿制定团体标准，实行团体标准生产企业达标和团体标准产品达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4187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标的团体监管制度。</w:t>
      </w:r>
    </w:p>
    <w:p>
      <w:pPr>
        <w:spacing w:before="0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38" type="#_x0000_t75" style="width:417.3pt;height:655.6pt;margin-top:70.1pt;margin-left:89pt;mso-position-horizontal-relative:page;mso-position-vertical-relative:page;position:absolute;z-index:-251657216">
            <v:imagedata r:id="rId17" o:title=""/>
          </v:shape>
        </w:pict>
      </w:r>
      <w:bookmarkStart w:id="3" w:name="br1_2"/>
      <w:bookmarkEnd w:id="3"/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第四条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申请保健用品达标企业应是河南省营养保健协会团体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会员单位，申请人应当承诺自愿遵守《河南省营养保健协会保健用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品团体标准实施监管办法》。具备《河南省营养保健协会保健用品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生产规范团体标准》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T/HYBX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0001-2020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的要求，并具备《河南省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营养保健协会保健用品产品团体标准》的要求，取得双达标证书后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方可使用团体标准。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第五条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河南省营养保健协会受理申请后，应和申请企业签订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技术服务协议，明确项目及费用。在</w:t>
      </w:r>
      <w:r>
        <w:rPr>
          <w:rFonts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个工作日内组织由医学、中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药学、毒理、营养、检验、医疗、生产工艺、管理等相关专业的专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家组成评审专家组到生产企业进行现场核查，对申请的保健用品的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组方构造、生产工艺、保健作用和安全性进行评审，并出具评审报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告。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第六条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河南省营养保健协会收到评审专家组评审报告之日起</w:t>
      </w:r>
    </w:p>
    <w:p>
      <w:pPr>
        <w:spacing w:before="251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个工作日内作出决定。对评审报告认定符合本协会保健用品“生</w:t>
      </w:r>
    </w:p>
    <w:p>
      <w:pPr>
        <w:spacing w:before="256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产规范”及产品团体标准的，颁发保健用品达标企业和达标产品证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书。评审报告认定不符合达标条件的，出具书面整改意见，对确有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安全隐患的，建议到省疾控中心做皮肤刺激性、过敏性实验。</w:t>
      </w:r>
    </w:p>
    <w:p>
      <w:pPr>
        <w:spacing w:before="251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第七条</w:t>
      </w:r>
      <w:r>
        <w:rPr>
          <w:rFonts w:hAnsi="Calibri" w:eastAsiaTheme="minorEastAsia" w:cstheme="minorBidi"/>
          <w:color w:val="000000"/>
          <w:spacing w:val="7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保健用品生产企业在取得达标证书后不得擅自变更经批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准的保健用品名称、原料、生产工艺、使用方法以及其他可能影响</w:t>
      </w:r>
    </w:p>
    <w:p>
      <w:pPr>
        <w:spacing w:before="256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产品安全或者保健作用的内容。禁止涂改、倒卖、出租、出借保健</w:t>
      </w:r>
    </w:p>
    <w:p>
      <w:pPr>
        <w:spacing w:before="251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用品达标证书。严禁非法添加产品原料以外的违禁物品。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第八条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保健用品的使用说明书和标签应当注明产品名称、厂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址、厂名和保健用品达标证号;小包装或者使用说明书应当注明生产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1462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日期、有效使用期限、主要成份、保健作用、适用对象;可能引起不</w:t>
      </w:r>
    </w:p>
    <w:p>
      <w:pPr>
        <w:spacing w:before="0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39" type="#_x0000_t75" style="width:417.3pt;height:628.35pt;margin-top:70.1pt;margin-left:89pt;mso-position-horizontal-relative:page;mso-position-vertical-relative:page;position:absolute;z-index:-251656192">
            <v:imagedata r:id="rId18" o:title=""/>
          </v:shape>
        </w:pict>
      </w:r>
      <w:bookmarkStart w:id="5" w:name="br1_4"/>
      <w:bookmarkEnd w:id="5"/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良反应的，还应当注明使用方法和注意事项。生产企业应将产品使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用说明书和标签样稿报协会审定后使用。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保健用品的生产销售者应要遵守《中华人民共和国广告法，》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标签、小包装或者使用说明书不得注有适应症，不得涉及疾病预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防、治疗功能，不得使用医疗术语，不得夸大宣传疗效。</w:t>
      </w:r>
    </w:p>
    <w:p>
      <w:pPr>
        <w:spacing w:before="254" w:after="0" w:line="291" w:lineRule="exact"/>
        <w:ind w:left="48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第九条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保健用品销售者不得销售未取得本协会“保健用品生产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与产品达标证书”、过期、失效的保健用品。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第十条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未取得保健用品达标证书生产保健用品，或已经取得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保健用品达标证书生产的保健用品产品不达标，可由团体会员单位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相互监督或举报，由协会责成整改，情节严重的收回达标证书，取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消其团体会员单位资格，自负承担法律责任。同时接受社会监督，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促进行业健康发展，保障产品安全有效。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第十一条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保健用品评审专家组、检验机构不得泄露申报企业的</w:t>
      </w:r>
    </w:p>
    <w:p>
      <w:pPr>
        <w:spacing w:before="251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商业秘密。</w:t>
      </w:r>
    </w:p>
    <w:p>
      <w:pPr>
        <w:spacing w:before="256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第十二条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保健用品双达标证书有效期</w:t>
      </w:r>
      <w:r>
        <w:rPr>
          <w:rFonts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年,均从发证之日算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起。保健用品生产企业应当在保健用品达标证书有效期满</w:t>
      </w:r>
      <w:r>
        <w:rPr>
          <w:rFonts w:hAnsi="Calibr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28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日前，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向协会申请延续保健用品达标证书。</w:t>
      </w:r>
    </w:p>
    <w:p>
      <w:pPr>
        <w:spacing w:before="251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第十三条</w:t>
      </w:r>
      <w:r>
        <w:rPr>
          <w:rFonts w:hAnsi="Calibri" w:eastAsiaTheme="minorEastAsia" w:cstheme="minorBidi"/>
          <w:color w:val="000000"/>
          <w:spacing w:val="21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保健用品生产企业应当建立保健用品生产原料、成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品质量检验制度。对未经检验的保健用品原料或者检验不合格的原</w:t>
      </w:r>
    </w:p>
    <w:p>
      <w:pPr>
        <w:spacing w:before="256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料，不得将其投入生产。保健用品成品出厂前，应当附有产品包</w:t>
      </w:r>
    </w:p>
    <w:p>
      <w:pPr>
        <w:spacing w:before="251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装、标签、使用说明书和统一标志，并按照保健用品质量标准进行</w:t>
      </w:r>
    </w:p>
    <w:p>
      <w:pPr>
        <w:spacing w:before="254" w:after="0" w:line="29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检验，检验合格后方可出厂销售。</w:t>
      </w:r>
    </w:p>
    <w:p>
      <w:pPr>
        <w:spacing w:before="254" w:after="0" w:line="291" w:lineRule="exact"/>
        <w:ind w:left="559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第十四条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本办法自公布之日起施行。</w:t>
      </w:r>
    </w:p>
    <w:p>
      <w:pPr>
        <w:spacing w:before="981" w:after="0" w:line="291" w:lineRule="exact"/>
        <w:ind w:left="504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河南省营养保健协会</w:t>
      </w:r>
    </w:p>
    <w:sectPr>
      <w:pgSz w:w="11900" w:h="16820"/>
      <w:pgMar w:top="1462" w:right="100" w:bottom="0" w:left="18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PMQUFS+FZX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